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9E5" w:rsidRDefault="00F739E5" w:rsidP="00F739E5">
      <w:pPr>
        <w:jc w:val="center"/>
        <w:rPr>
          <w:b/>
          <w:sz w:val="32"/>
        </w:rPr>
      </w:pPr>
      <w:r w:rsidRPr="00F739E5">
        <w:rPr>
          <w:b/>
          <w:sz w:val="32"/>
        </w:rPr>
        <w:t>Geothermal life-cycle model (version 1, 20 Feb. 2017)</w:t>
      </w:r>
    </w:p>
    <w:p w:rsidR="00F739E5" w:rsidRPr="0056245B" w:rsidRDefault="0056245B" w:rsidP="0056245B">
      <w:pPr>
        <w:pStyle w:val="ListParagraph"/>
        <w:numPr>
          <w:ilvl w:val="0"/>
          <w:numId w:val="1"/>
        </w:numPr>
        <w:rPr>
          <w:sz w:val="24"/>
        </w:rPr>
      </w:pPr>
      <w:r w:rsidRPr="0056245B">
        <w:rPr>
          <w:rFonts w:ascii="Arial" w:hAnsi="Arial" w:cs="Arial"/>
          <w:b/>
          <w:bCs/>
          <w:color w:val="0000FF"/>
          <w:szCs w:val="20"/>
        </w:rPr>
        <w:t>General description of the model</w:t>
      </w:r>
      <w:r w:rsidR="00F739E5" w:rsidRPr="0056245B">
        <w:rPr>
          <w:sz w:val="36"/>
        </w:rPr>
        <w:t xml:space="preserve"> </w:t>
      </w:r>
    </w:p>
    <w:tbl>
      <w:tblPr>
        <w:tblW w:w="8964" w:type="dxa"/>
        <w:tblInd w:w="103" w:type="dxa"/>
        <w:tblLook w:val="04A0" w:firstRow="1" w:lastRow="0" w:firstColumn="1" w:lastColumn="0" w:noHBand="0" w:noVBand="1"/>
      </w:tblPr>
      <w:tblGrid>
        <w:gridCol w:w="8964"/>
      </w:tblGrid>
      <w:tr w:rsidR="00F739E5" w:rsidRPr="00F739E5" w:rsidTr="0056245B">
        <w:trPr>
          <w:trHeight w:val="2112"/>
        </w:trPr>
        <w:tc>
          <w:tcPr>
            <w:tcW w:w="8964" w:type="dxa"/>
            <w:tcBorders>
              <w:top w:val="single" w:sz="4" w:space="0" w:color="auto"/>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color w:val="000000"/>
                <w:sz w:val="20"/>
                <w:szCs w:val="20"/>
              </w:rPr>
            </w:pPr>
            <w:r w:rsidRPr="00F739E5">
              <w:rPr>
                <w:rFonts w:ascii="Arial" w:hAnsi="Arial" w:cs="Arial"/>
                <w:b/>
                <w:bCs/>
                <w:sz w:val="20"/>
                <w:szCs w:val="20"/>
              </w:rPr>
              <w:t>Purpose of the model</w:t>
            </w:r>
            <w:r w:rsidRPr="00F739E5">
              <w:rPr>
                <w:rFonts w:ascii="Arial" w:hAnsi="Arial" w:cs="Arial"/>
                <w:sz w:val="20"/>
                <w:szCs w:val="20"/>
              </w:rPr>
              <w:t>: The model</w:t>
            </w:r>
            <w:r w:rsidRPr="00F739E5">
              <w:rPr>
                <w:rFonts w:ascii="Arial" w:hAnsi="Arial" w:cs="Arial"/>
                <w:color w:val="000000"/>
                <w:sz w:val="20"/>
                <w:szCs w:val="20"/>
              </w:rPr>
              <w:t xml:space="preserve"> is a </w:t>
            </w:r>
            <w:r w:rsidRPr="00F739E5">
              <w:rPr>
                <w:rFonts w:ascii="Arial" w:hAnsi="Arial" w:cs="Arial"/>
                <w:i/>
                <w:iCs/>
                <w:color w:val="000000"/>
                <w:sz w:val="20"/>
                <w:szCs w:val="20"/>
              </w:rPr>
              <w:t>full-field,</w:t>
            </w:r>
            <w:r w:rsidRPr="00F739E5">
              <w:rPr>
                <w:rFonts w:ascii="Arial" w:hAnsi="Arial" w:cs="Arial"/>
                <w:color w:val="000000"/>
                <w:sz w:val="20"/>
                <w:szCs w:val="20"/>
              </w:rPr>
              <w:t xml:space="preserve"> Technical-to-Business </w:t>
            </w:r>
            <w:r w:rsidR="0056245B">
              <w:rPr>
                <w:rFonts w:ascii="Arial" w:hAnsi="Arial" w:cs="Arial"/>
                <w:color w:val="000000"/>
                <w:sz w:val="20"/>
                <w:szCs w:val="20"/>
              </w:rPr>
              <w:t>XL-</w:t>
            </w:r>
            <w:r w:rsidRPr="00F739E5">
              <w:rPr>
                <w:rFonts w:ascii="Arial" w:hAnsi="Arial" w:cs="Arial"/>
                <w:color w:val="000000"/>
                <w:sz w:val="20"/>
                <w:szCs w:val="20"/>
              </w:rPr>
              <w:t>model consisting of coupled volumetric (Heat-In-Place), production, and cashflow parts. Output consists of a range of Key Performance Indicator</w:t>
            </w:r>
            <w:r w:rsidR="00BF2D24">
              <w:rPr>
                <w:rFonts w:ascii="Arial" w:hAnsi="Arial" w:cs="Arial"/>
                <w:color w:val="000000"/>
                <w:sz w:val="20"/>
                <w:szCs w:val="20"/>
              </w:rPr>
              <w:t xml:space="preserve">s (KPIs) and of various graphs </w:t>
            </w:r>
            <w:r w:rsidRPr="00F739E5">
              <w:rPr>
                <w:rFonts w:ascii="Arial" w:hAnsi="Arial" w:cs="Arial"/>
                <w:color w:val="000000"/>
                <w:sz w:val="20"/>
                <w:szCs w:val="20"/>
              </w:rPr>
              <w:t>o</w:t>
            </w:r>
            <w:r w:rsidR="00BF2D24">
              <w:rPr>
                <w:rFonts w:ascii="Arial" w:hAnsi="Arial" w:cs="Arial"/>
                <w:color w:val="000000"/>
                <w:sz w:val="20"/>
                <w:szCs w:val="20"/>
              </w:rPr>
              <w:t>f</w:t>
            </w:r>
            <w:r w:rsidRPr="00F739E5">
              <w:rPr>
                <w:rFonts w:ascii="Arial" w:hAnsi="Arial" w:cs="Arial"/>
                <w:color w:val="000000"/>
                <w:sz w:val="20"/>
                <w:szCs w:val="20"/>
              </w:rPr>
              <w:t xml:space="preserve"> time-series etc. When combined with a Monte</w:t>
            </w:r>
            <w:r w:rsidR="00BF2D24">
              <w:rPr>
                <w:rFonts w:ascii="Arial" w:hAnsi="Arial" w:cs="Arial"/>
                <w:color w:val="000000"/>
                <w:sz w:val="20"/>
                <w:szCs w:val="20"/>
              </w:rPr>
              <w:t xml:space="preserve"> </w:t>
            </w:r>
            <w:r w:rsidRPr="00F739E5">
              <w:rPr>
                <w:rFonts w:ascii="Arial" w:hAnsi="Arial" w:cs="Arial"/>
                <w:color w:val="000000"/>
                <w:sz w:val="20"/>
                <w:szCs w:val="20"/>
              </w:rPr>
              <w:t>Carlo engine such as Crystal Ball or @Risk, the XL-model can compute stochastic time-series and histograms of KPIs. A particularly useful feature is the sensitivity analysis that can be done using Monte</w:t>
            </w:r>
            <w:r w:rsidR="00BF2D24">
              <w:rPr>
                <w:rFonts w:ascii="Arial" w:hAnsi="Arial" w:cs="Arial"/>
                <w:color w:val="000000"/>
                <w:sz w:val="20"/>
                <w:szCs w:val="20"/>
              </w:rPr>
              <w:t xml:space="preserve"> </w:t>
            </w:r>
            <w:r w:rsidRPr="00F739E5">
              <w:rPr>
                <w:rFonts w:ascii="Arial" w:hAnsi="Arial" w:cs="Arial"/>
                <w:color w:val="000000"/>
                <w:sz w:val="20"/>
                <w:szCs w:val="20"/>
              </w:rPr>
              <w:t xml:space="preserve">Carlo sampling. The model is targeted at geothermal assets (projects) that are relatively immature, i.e. assets with relatively large uncertainties for the non-controllable variables, and with a wide range of possible project definitions (controllable variables). Typically, such geothermal fields, or geothermal development projects, would be in the "pre-feasibility" or "concept selection" phase. Results from studies done with this XL model may be used to narrow down (i.e. further frame) the possible project definitions to be elaborated in subsequent steps (feasibility study, concept selection, FEED). In such further studies, more detailed models would be typically used. </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2904"/>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sz w:val="20"/>
                <w:szCs w:val="20"/>
              </w:rPr>
            </w:pPr>
            <w:r w:rsidRPr="00F739E5">
              <w:rPr>
                <w:rFonts w:ascii="Arial" w:hAnsi="Arial" w:cs="Arial"/>
                <w:sz w:val="20"/>
                <w:szCs w:val="20"/>
              </w:rPr>
              <w:t xml:space="preserve">The model consists of a volumetric part, which computes the </w:t>
            </w:r>
            <w:r w:rsidRPr="00F739E5">
              <w:rPr>
                <w:rFonts w:ascii="Arial" w:hAnsi="Arial" w:cs="Arial"/>
                <w:b/>
                <w:bCs/>
                <w:sz w:val="20"/>
                <w:szCs w:val="20"/>
              </w:rPr>
              <w:t>Heat-In-Place</w:t>
            </w:r>
            <w:r w:rsidRPr="00F739E5">
              <w:rPr>
                <w:rFonts w:ascii="Arial" w:hAnsi="Arial" w:cs="Arial"/>
                <w:sz w:val="20"/>
                <w:szCs w:val="20"/>
              </w:rPr>
              <w:t xml:space="preserve"> and the theoretically maximum possible electrical power capacity from this Heat-In-Place, based on a given economic life-time and some empirical correlations. The (volcanic) reservoir is assumed to be non-depletable over the asset's life-cycle, both in terms of fluid/mass-in-place and in terms of heat-in-place. Produced fluid is assumed to be replenished by injected fluid and/or natural water influx (meteoric water, other groundwater), heat is assumed to be unlimited in production terms, as over 90% of the Heat-In-Place is assumed to be in the solid minerals of the rock, which would re-supply the heat to the re-injected cooled-down fluids in the pores at an, in practical terms, unlimited rate. Also, it is assumed that in practical terms Heat-In-Place and mass/heat production is hardly influenced by whether the reservoir fluids consist of </w:t>
            </w:r>
            <w:proofErr w:type="spellStart"/>
            <w:r w:rsidRPr="00F739E5">
              <w:rPr>
                <w:rFonts w:ascii="Arial" w:hAnsi="Arial" w:cs="Arial"/>
                <w:sz w:val="20"/>
                <w:szCs w:val="20"/>
              </w:rPr>
              <w:t>steam+water</w:t>
            </w:r>
            <w:proofErr w:type="spellEnd"/>
            <w:r w:rsidRPr="00F739E5">
              <w:rPr>
                <w:rFonts w:ascii="Arial" w:hAnsi="Arial" w:cs="Arial"/>
                <w:sz w:val="20"/>
                <w:szCs w:val="20"/>
              </w:rPr>
              <w:t xml:space="preserve">, or just water. Existing studies argue that this difference can be assumed to be negligible. Based on the </w:t>
            </w:r>
            <w:r w:rsidRPr="00F739E5">
              <w:rPr>
                <w:rFonts w:ascii="Arial" w:hAnsi="Arial" w:cs="Arial"/>
                <w:b/>
                <w:bCs/>
                <w:sz w:val="20"/>
                <w:szCs w:val="20"/>
              </w:rPr>
              <w:t>steady-state well inflow equation</w:t>
            </w:r>
            <w:r w:rsidRPr="00F739E5">
              <w:rPr>
                <w:rFonts w:ascii="Arial" w:hAnsi="Arial" w:cs="Arial"/>
                <w:sz w:val="20"/>
                <w:szCs w:val="20"/>
              </w:rPr>
              <w:t xml:space="preserve">, the model then computes the mass and heat production per well. The steady-state inflow equation corrects the drainage area per well for the number of (initial and incremental) wells. The given (initial) skin-factor per well influences the well's productivity. A user-defined skin build-up rate (factor/year) results in the well's productivity to decline over the years, until a skin-removal </w:t>
            </w:r>
            <w:r w:rsidRPr="00F739E5">
              <w:rPr>
                <w:rFonts w:ascii="Arial" w:hAnsi="Arial" w:cs="Arial"/>
                <w:b/>
                <w:bCs/>
                <w:sz w:val="20"/>
                <w:szCs w:val="20"/>
              </w:rPr>
              <w:t>workover</w:t>
            </w:r>
            <w:r w:rsidRPr="00F739E5">
              <w:rPr>
                <w:rFonts w:ascii="Arial" w:hAnsi="Arial" w:cs="Arial"/>
                <w:sz w:val="20"/>
                <w:szCs w:val="20"/>
              </w:rPr>
              <w:t xml:space="preserve"> is scheduled and the skin factor is re-set at the original value. The user can supply the workover frequency. The workover </w:t>
            </w:r>
            <w:proofErr w:type="spellStart"/>
            <w:r w:rsidRPr="00F739E5">
              <w:rPr>
                <w:rFonts w:ascii="Arial" w:hAnsi="Arial" w:cs="Arial"/>
                <w:sz w:val="20"/>
                <w:szCs w:val="20"/>
              </w:rPr>
              <w:t>opex</w:t>
            </w:r>
            <w:proofErr w:type="spellEnd"/>
            <w:r w:rsidRPr="00F739E5">
              <w:rPr>
                <w:rFonts w:ascii="Arial" w:hAnsi="Arial" w:cs="Arial"/>
                <w:sz w:val="20"/>
                <w:szCs w:val="20"/>
              </w:rPr>
              <w:t xml:space="preserve"> will be accrued to the cash-out cashflow. </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2640"/>
        </w:trPr>
        <w:tc>
          <w:tcPr>
            <w:tcW w:w="8964" w:type="dxa"/>
            <w:tcBorders>
              <w:top w:val="nil"/>
              <w:left w:val="single" w:sz="4" w:space="0" w:color="auto"/>
              <w:bottom w:val="single" w:sz="4" w:space="0" w:color="auto"/>
              <w:right w:val="single" w:sz="4" w:space="0" w:color="auto"/>
            </w:tcBorders>
            <w:shd w:val="clear" w:color="000000" w:fill="FFFFFF"/>
            <w:hideMark/>
          </w:tcPr>
          <w:p w:rsidR="00F739E5" w:rsidRPr="00F739E5" w:rsidRDefault="00F739E5" w:rsidP="00F739E5">
            <w:pPr>
              <w:spacing w:after="0" w:line="240" w:lineRule="auto"/>
              <w:outlineLvl w:val="0"/>
              <w:rPr>
                <w:rFonts w:ascii="Arial" w:hAnsi="Arial" w:cs="Arial"/>
                <w:sz w:val="20"/>
                <w:szCs w:val="20"/>
              </w:rPr>
            </w:pPr>
            <w:r w:rsidRPr="00F739E5">
              <w:rPr>
                <w:rFonts w:ascii="Arial" w:hAnsi="Arial" w:cs="Arial"/>
                <w:b/>
                <w:bCs/>
                <w:sz w:val="20"/>
                <w:szCs w:val="20"/>
              </w:rPr>
              <w:t>Wells</w:t>
            </w:r>
            <w:r w:rsidRPr="00F739E5">
              <w:rPr>
                <w:rFonts w:ascii="Arial" w:hAnsi="Arial" w:cs="Arial"/>
                <w:sz w:val="20"/>
                <w:szCs w:val="20"/>
              </w:rPr>
              <w:t xml:space="preserve"> with individual, heterogeneous properties and separate field-sectors (e.g. fault-blocks) cannot be modelled. All wells are assumed to be identical, and the reservoir is just one body with a constant reservoir-boundary pressure that does not deplete in time. For input variables that are heterogeneous in space and/or changing in time, it is assumed that they can be adequately represented by field-wide average values. This assumption is a coarse simplification and should in principle be verified by calibration to more detailed models. But as a first approximation it may well be a valid assumption. All yearly average </w:t>
            </w:r>
            <w:r w:rsidRPr="00F739E5">
              <w:rPr>
                <w:rFonts w:ascii="Arial" w:hAnsi="Arial" w:cs="Arial"/>
                <w:b/>
                <w:bCs/>
                <w:sz w:val="20"/>
                <w:szCs w:val="20"/>
              </w:rPr>
              <w:t>production</w:t>
            </w:r>
            <w:r w:rsidRPr="00F739E5">
              <w:rPr>
                <w:rFonts w:ascii="Arial" w:hAnsi="Arial" w:cs="Arial"/>
                <w:sz w:val="20"/>
                <w:szCs w:val="20"/>
              </w:rPr>
              <w:t xml:space="preserve"> is corrected for a given load time (uptime) factor, or for the given number of running hours per year. Total field production is the sum of all individual well production rates, unless constrained by surface facilities. A targeted plateau production can be given: the model will automatically drill additional wells if the target is not being met (e.g. due to well deterioration, or if the target rate is increased in a given year). The number of production wells to be drilled each year is then used to calculate the yearly drilling expenditure (</w:t>
            </w:r>
            <w:proofErr w:type="spellStart"/>
            <w:r w:rsidRPr="00F739E5">
              <w:rPr>
                <w:rFonts w:ascii="Arial" w:hAnsi="Arial" w:cs="Arial"/>
                <w:sz w:val="20"/>
                <w:szCs w:val="20"/>
              </w:rPr>
              <w:t>drillex</w:t>
            </w:r>
            <w:proofErr w:type="spellEnd"/>
            <w:r w:rsidRPr="00F739E5">
              <w:rPr>
                <w:rFonts w:ascii="Arial" w:hAnsi="Arial" w:cs="Arial"/>
                <w:sz w:val="20"/>
                <w:szCs w:val="20"/>
              </w:rPr>
              <w:t>) and, hence, depreciation, tax and NCF. The user can supply a producer to injector ratio. When specifying / computing a new production well, the corresponding number of in</w:t>
            </w:r>
            <w:r>
              <w:rPr>
                <w:rFonts w:ascii="Arial" w:hAnsi="Arial" w:cs="Arial"/>
                <w:sz w:val="20"/>
                <w:szCs w:val="20"/>
              </w:rPr>
              <w:t>j</w:t>
            </w:r>
            <w:r w:rsidRPr="00F739E5">
              <w:rPr>
                <w:rFonts w:ascii="Arial" w:hAnsi="Arial" w:cs="Arial"/>
                <w:sz w:val="20"/>
                <w:szCs w:val="20"/>
              </w:rPr>
              <w:t xml:space="preserve">ectors will be automatically and accrued to the </w:t>
            </w:r>
            <w:proofErr w:type="spellStart"/>
            <w:r w:rsidRPr="00F739E5">
              <w:rPr>
                <w:rFonts w:ascii="Arial" w:hAnsi="Arial" w:cs="Arial"/>
                <w:sz w:val="20"/>
                <w:szCs w:val="20"/>
              </w:rPr>
              <w:t>drillex</w:t>
            </w:r>
            <w:proofErr w:type="spellEnd"/>
            <w:r w:rsidRPr="00F739E5">
              <w:rPr>
                <w:rFonts w:ascii="Arial" w:hAnsi="Arial" w:cs="Arial"/>
                <w:sz w:val="20"/>
                <w:szCs w:val="20"/>
              </w:rPr>
              <w:t>, and later to the well-</w:t>
            </w:r>
            <w:proofErr w:type="spellStart"/>
            <w:r w:rsidRPr="00F739E5">
              <w:rPr>
                <w:rFonts w:ascii="Arial" w:hAnsi="Arial" w:cs="Arial"/>
                <w:sz w:val="20"/>
                <w:szCs w:val="20"/>
              </w:rPr>
              <w:t>opex</w:t>
            </w:r>
            <w:proofErr w:type="spellEnd"/>
            <w:r w:rsidRPr="00F739E5">
              <w:rPr>
                <w:rFonts w:ascii="Arial" w:hAnsi="Arial" w:cs="Arial"/>
                <w:sz w:val="20"/>
                <w:szCs w:val="20"/>
              </w:rPr>
              <w:t xml:space="preserve"> (e.g. for the number of workovers to be done).</w:t>
            </w:r>
          </w:p>
        </w:tc>
      </w:tr>
      <w:tr w:rsidR="00F739E5" w:rsidRPr="00F739E5" w:rsidTr="0056245B">
        <w:trPr>
          <w:trHeight w:val="528"/>
        </w:trPr>
        <w:tc>
          <w:tcPr>
            <w:tcW w:w="8964" w:type="dxa"/>
            <w:tcBorders>
              <w:top w:val="single" w:sz="4" w:space="0" w:color="auto"/>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sz w:val="20"/>
                <w:szCs w:val="20"/>
              </w:rPr>
            </w:pPr>
            <w:r w:rsidRPr="00F739E5">
              <w:rPr>
                <w:rFonts w:ascii="Arial" w:hAnsi="Arial" w:cs="Arial"/>
                <w:b/>
                <w:bCs/>
                <w:sz w:val="20"/>
                <w:szCs w:val="20"/>
              </w:rPr>
              <w:lastRenderedPageBreak/>
              <w:t>Lifting costs</w:t>
            </w:r>
            <w:r w:rsidRPr="00F739E5">
              <w:rPr>
                <w:rFonts w:ascii="Arial" w:hAnsi="Arial" w:cs="Arial"/>
                <w:sz w:val="20"/>
                <w:szCs w:val="20"/>
              </w:rPr>
              <w:t xml:space="preserve"> are computed from a well's pump specifications (power-rating), or from the physical equations for the work required to lift a certain volume of water. The required electrical power is deducted from the total electrical power production to compute </w:t>
            </w:r>
            <w:r w:rsidRPr="00F739E5">
              <w:rPr>
                <w:rFonts w:ascii="Arial" w:hAnsi="Arial" w:cs="Arial"/>
                <w:b/>
                <w:bCs/>
                <w:sz w:val="20"/>
                <w:szCs w:val="20"/>
              </w:rPr>
              <w:t>electricity sales</w:t>
            </w:r>
            <w:r w:rsidRPr="00F739E5">
              <w:rPr>
                <w:rFonts w:ascii="Arial" w:hAnsi="Arial" w:cs="Arial"/>
                <w:sz w:val="20"/>
                <w:szCs w:val="20"/>
              </w:rPr>
              <w:t>.</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528"/>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sz w:val="20"/>
                <w:szCs w:val="20"/>
              </w:rPr>
            </w:pPr>
            <w:r w:rsidRPr="00F739E5">
              <w:rPr>
                <w:rFonts w:ascii="Arial" w:hAnsi="Arial" w:cs="Arial"/>
                <w:b/>
                <w:bCs/>
                <w:sz w:val="20"/>
                <w:szCs w:val="20"/>
              </w:rPr>
              <w:t>Capex</w:t>
            </w:r>
            <w:r w:rsidRPr="00F739E5">
              <w:rPr>
                <w:rFonts w:ascii="Arial" w:hAnsi="Arial" w:cs="Arial"/>
                <w:sz w:val="20"/>
                <w:szCs w:val="20"/>
              </w:rPr>
              <w:t xml:space="preserve"> can be specified per project phase, </w:t>
            </w:r>
            <w:proofErr w:type="spellStart"/>
            <w:r w:rsidRPr="00F739E5">
              <w:rPr>
                <w:rFonts w:ascii="Arial" w:hAnsi="Arial" w:cs="Arial"/>
                <w:sz w:val="20"/>
                <w:szCs w:val="20"/>
              </w:rPr>
              <w:t>ie</w:t>
            </w:r>
            <w:proofErr w:type="spellEnd"/>
            <w:r w:rsidRPr="00F739E5">
              <w:rPr>
                <w:rFonts w:ascii="Arial" w:hAnsi="Arial" w:cs="Arial"/>
                <w:sz w:val="20"/>
                <w:szCs w:val="20"/>
              </w:rPr>
              <w:t xml:space="preserve">. exploration, appraisal, early development and incremental development. Capex uncertainty can be specified using a capex-multiplier. Similarly, the </w:t>
            </w:r>
            <w:proofErr w:type="spellStart"/>
            <w:r w:rsidRPr="00F739E5">
              <w:rPr>
                <w:rFonts w:ascii="Arial" w:hAnsi="Arial" w:cs="Arial"/>
                <w:b/>
                <w:bCs/>
                <w:sz w:val="20"/>
                <w:szCs w:val="20"/>
              </w:rPr>
              <w:t>drillex</w:t>
            </w:r>
            <w:proofErr w:type="spellEnd"/>
            <w:r w:rsidRPr="00F739E5">
              <w:rPr>
                <w:rFonts w:ascii="Arial" w:hAnsi="Arial" w:cs="Arial"/>
                <w:sz w:val="20"/>
                <w:szCs w:val="20"/>
              </w:rPr>
              <w:t xml:space="preserve"> uncertainty. </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792"/>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color w:val="000000"/>
                <w:sz w:val="20"/>
                <w:szCs w:val="20"/>
              </w:rPr>
            </w:pPr>
            <w:r w:rsidRPr="00F739E5">
              <w:rPr>
                <w:rFonts w:ascii="Arial" w:hAnsi="Arial" w:cs="Arial"/>
                <w:sz w:val="20"/>
                <w:szCs w:val="20"/>
              </w:rPr>
              <w:t xml:space="preserve">The </w:t>
            </w:r>
            <w:r w:rsidRPr="00F739E5">
              <w:rPr>
                <w:rFonts w:ascii="Arial" w:hAnsi="Arial" w:cs="Arial"/>
                <w:b/>
                <w:bCs/>
                <w:sz w:val="20"/>
                <w:szCs w:val="20"/>
              </w:rPr>
              <w:t xml:space="preserve">fixed </w:t>
            </w:r>
            <w:proofErr w:type="spellStart"/>
            <w:r w:rsidRPr="00F739E5">
              <w:rPr>
                <w:rFonts w:ascii="Arial" w:hAnsi="Arial" w:cs="Arial"/>
                <w:b/>
                <w:bCs/>
                <w:sz w:val="20"/>
                <w:szCs w:val="20"/>
              </w:rPr>
              <w:t>opex</w:t>
            </w:r>
            <w:proofErr w:type="spellEnd"/>
            <w:r w:rsidRPr="00F739E5">
              <w:rPr>
                <w:rFonts w:ascii="Arial" w:hAnsi="Arial" w:cs="Arial"/>
                <w:color w:val="000000"/>
                <w:sz w:val="20"/>
                <w:szCs w:val="20"/>
              </w:rPr>
              <w:t xml:space="preserve"> and O&amp;M costs are input by the user as a time-series. Based on the user-specified input, the </w:t>
            </w:r>
            <w:r w:rsidRPr="00F739E5">
              <w:rPr>
                <w:rFonts w:ascii="Arial" w:hAnsi="Arial" w:cs="Arial"/>
                <w:b/>
                <w:bCs/>
                <w:sz w:val="20"/>
                <w:szCs w:val="20"/>
              </w:rPr>
              <w:t xml:space="preserve">variable </w:t>
            </w:r>
            <w:proofErr w:type="spellStart"/>
            <w:r w:rsidRPr="00F739E5">
              <w:rPr>
                <w:rFonts w:ascii="Arial" w:hAnsi="Arial" w:cs="Arial"/>
                <w:b/>
                <w:bCs/>
                <w:sz w:val="20"/>
                <w:szCs w:val="20"/>
              </w:rPr>
              <w:t>opex</w:t>
            </w:r>
            <w:proofErr w:type="spellEnd"/>
            <w:r w:rsidRPr="00F739E5">
              <w:rPr>
                <w:rFonts w:ascii="Arial" w:hAnsi="Arial" w:cs="Arial"/>
                <w:color w:val="000000"/>
                <w:sz w:val="20"/>
                <w:szCs w:val="20"/>
              </w:rPr>
              <w:t xml:space="preserve"> is automatically calculated for the following components: </w:t>
            </w:r>
            <w:r w:rsidRPr="00F739E5">
              <w:rPr>
                <w:rFonts w:ascii="Arial" w:hAnsi="Arial" w:cs="Arial"/>
                <w:b/>
                <w:bCs/>
                <w:sz w:val="20"/>
                <w:szCs w:val="20"/>
              </w:rPr>
              <w:t xml:space="preserve">water </w:t>
            </w:r>
            <w:proofErr w:type="spellStart"/>
            <w:r w:rsidRPr="00F739E5">
              <w:rPr>
                <w:rFonts w:ascii="Arial" w:hAnsi="Arial" w:cs="Arial"/>
                <w:b/>
                <w:bCs/>
                <w:sz w:val="20"/>
                <w:szCs w:val="20"/>
              </w:rPr>
              <w:t>opex</w:t>
            </w:r>
            <w:proofErr w:type="spellEnd"/>
            <w:r w:rsidRPr="00F739E5">
              <w:rPr>
                <w:rFonts w:ascii="Arial" w:hAnsi="Arial" w:cs="Arial"/>
                <w:color w:val="000000"/>
                <w:sz w:val="20"/>
                <w:szCs w:val="20"/>
              </w:rPr>
              <w:t xml:space="preserve"> (function of water rate); </w:t>
            </w:r>
            <w:r w:rsidRPr="00F739E5">
              <w:rPr>
                <w:rFonts w:ascii="Arial" w:hAnsi="Arial" w:cs="Arial"/>
                <w:b/>
                <w:bCs/>
                <w:sz w:val="20"/>
                <w:szCs w:val="20"/>
              </w:rPr>
              <w:t xml:space="preserve">well </w:t>
            </w:r>
            <w:proofErr w:type="spellStart"/>
            <w:r w:rsidRPr="00F739E5">
              <w:rPr>
                <w:rFonts w:ascii="Arial" w:hAnsi="Arial" w:cs="Arial"/>
                <w:b/>
                <w:bCs/>
                <w:sz w:val="20"/>
                <w:szCs w:val="20"/>
              </w:rPr>
              <w:t>opex</w:t>
            </w:r>
            <w:proofErr w:type="spellEnd"/>
            <w:r w:rsidRPr="00F739E5">
              <w:rPr>
                <w:rFonts w:ascii="Arial" w:hAnsi="Arial" w:cs="Arial"/>
                <w:color w:val="000000"/>
                <w:sz w:val="20"/>
                <w:szCs w:val="20"/>
              </w:rPr>
              <w:t xml:space="preserve"> (function of total number of production + injection wells in operation); and </w:t>
            </w:r>
            <w:r w:rsidRPr="00F739E5">
              <w:rPr>
                <w:rFonts w:ascii="Arial" w:hAnsi="Arial" w:cs="Arial"/>
                <w:b/>
                <w:bCs/>
                <w:sz w:val="20"/>
                <w:szCs w:val="20"/>
              </w:rPr>
              <w:t>well workovers</w:t>
            </w:r>
            <w:r w:rsidRPr="00F739E5">
              <w:rPr>
                <w:rFonts w:ascii="Arial" w:hAnsi="Arial" w:cs="Arial"/>
                <w:color w:val="000000"/>
                <w:sz w:val="20"/>
                <w:szCs w:val="20"/>
              </w:rPr>
              <w:t xml:space="preserve"> (function of cost per workover and workover frequency per well). </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792"/>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sz w:val="20"/>
                <w:szCs w:val="20"/>
              </w:rPr>
            </w:pPr>
            <w:r w:rsidRPr="00F739E5">
              <w:rPr>
                <w:rFonts w:ascii="Arial" w:hAnsi="Arial" w:cs="Arial"/>
                <w:b/>
                <w:bCs/>
                <w:sz w:val="20"/>
                <w:szCs w:val="20"/>
              </w:rPr>
              <w:t>Surface facilities</w:t>
            </w:r>
            <w:r w:rsidRPr="00F739E5">
              <w:rPr>
                <w:rFonts w:ascii="Arial" w:hAnsi="Arial" w:cs="Arial"/>
                <w:sz w:val="20"/>
                <w:szCs w:val="20"/>
              </w:rPr>
              <w:t xml:space="preserve"> are implicitly modelled by allowing for a range of capex entries and by enabling alternative calculation methods to compute the </w:t>
            </w:r>
            <w:r w:rsidRPr="00F739E5">
              <w:rPr>
                <w:rFonts w:ascii="Arial" w:hAnsi="Arial" w:cs="Arial"/>
                <w:b/>
                <w:bCs/>
                <w:sz w:val="20"/>
                <w:szCs w:val="20"/>
              </w:rPr>
              <w:t xml:space="preserve">conversion efficiency </w:t>
            </w:r>
            <w:r w:rsidRPr="00F739E5">
              <w:rPr>
                <w:rFonts w:ascii="Arial" w:hAnsi="Arial" w:cs="Arial"/>
                <w:sz w:val="20"/>
                <w:szCs w:val="20"/>
              </w:rPr>
              <w:t xml:space="preserve">of the field's mass/heat production to electrical power. This version therefore does not allow for a detailed breakdown of the computed performance (physics, cash) per facility item. </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264"/>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sz w:val="20"/>
                <w:szCs w:val="20"/>
              </w:rPr>
            </w:pPr>
            <w:r w:rsidRPr="00F739E5">
              <w:rPr>
                <w:rFonts w:ascii="Arial" w:hAnsi="Arial" w:cs="Arial"/>
                <w:sz w:val="20"/>
                <w:szCs w:val="20"/>
              </w:rPr>
              <w:t xml:space="preserve">Nor does this version allow for the calculation of the </w:t>
            </w:r>
            <w:r w:rsidRPr="00F739E5">
              <w:rPr>
                <w:rFonts w:ascii="Arial" w:hAnsi="Arial" w:cs="Arial"/>
                <w:b/>
                <w:bCs/>
                <w:sz w:val="20"/>
                <w:szCs w:val="20"/>
              </w:rPr>
              <w:t>CO2 footprint</w:t>
            </w:r>
            <w:r w:rsidRPr="00F739E5">
              <w:rPr>
                <w:rFonts w:ascii="Arial" w:hAnsi="Arial" w:cs="Arial"/>
                <w:sz w:val="20"/>
                <w:szCs w:val="20"/>
              </w:rPr>
              <w:t xml:space="preserve">. This is planned for a later version. </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792"/>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color w:val="000000"/>
                <w:sz w:val="20"/>
                <w:szCs w:val="20"/>
              </w:rPr>
            </w:pPr>
            <w:r w:rsidRPr="00F739E5">
              <w:rPr>
                <w:rFonts w:ascii="Arial" w:hAnsi="Arial" w:cs="Arial"/>
                <w:sz w:val="20"/>
                <w:szCs w:val="20"/>
              </w:rPr>
              <w:t xml:space="preserve">In this version, no facility exists to include </w:t>
            </w:r>
            <w:r w:rsidRPr="00F739E5">
              <w:rPr>
                <w:rFonts w:ascii="Arial" w:hAnsi="Arial" w:cs="Arial"/>
                <w:b/>
                <w:bCs/>
                <w:sz w:val="20"/>
                <w:szCs w:val="20"/>
              </w:rPr>
              <w:t>inflation</w:t>
            </w:r>
            <w:r w:rsidRPr="00F739E5">
              <w:rPr>
                <w:rFonts w:ascii="Arial" w:hAnsi="Arial" w:cs="Arial"/>
                <w:color w:val="000000"/>
                <w:sz w:val="20"/>
                <w:szCs w:val="20"/>
              </w:rPr>
              <w:t xml:space="preserve"> / cost escalators to compute MOD (Money-of-the-Day). See also comments below under "Some notes on Decision-making &amp; Valuation" / "Some opinions on the nominal dollars vs. real terms dollars dilemma". For the time being, no other currencies / exchange rates are enabled.</w:t>
            </w:r>
          </w:p>
          <w:p w:rsidR="00311218" w:rsidRPr="00F739E5" w:rsidRDefault="00311218" w:rsidP="00F739E5">
            <w:pPr>
              <w:spacing w:after="0" w:line="240" w:lineRule="auto"/>
              <w:outlineLvl w:val="0"/>
              <w:rPr>
                <w:rFonts w:ascii="Arial" w:hAnsi="Arial" w:cs="Arial"/>
                <w:sz w:val="20"/>
                <w:szCs w:val="20"/>
              </w:rPr>
            </w:pPr>
          </w:p>
        </w:tc>
      </w:tr>
      <w:tr w:rsidR="00F739E5" w:rsidRPr="00F739E5" w:rsidTr="0056245B">
        <w:trPr>
          <w:trHeight w:val="1320"/>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color w:val="000000"/>
                <w:sz w:val="20"/>
                <w:szCs w:val="20"/>
              </w:rPr>
            </w:pPr>
            <w:r w:rsidRPr="00F739E5">
              <w:rPr>
                <w:rFonts w:ascii="Arial" w:hAnsi="Arial" w:cs="Arial"/>
                <w:sz w:val="20"/>
                <w:szCs w:val="20"/>
              </w:rPr>
              <w:t xml:space="preserve">The </w:t>
            </w:r>
            <w:r w:rsidRPr="00F739E5">
              <w:rPr>
                <w:rFonts w:ascii="Arial" w:hAnsi="Arial" w:cs="Arial"/>
                <w:b/>
                <w:bCs/>
                <w:sz w:val="20"/>
                <w:szCs w:val="20"/>
              </w:rPr>
              <w:t>tax regime</w:t>
            </w:r>
            <w:r w:rsidRPr="00F739E5">
              <w:rPr>
                <w:rFonts w:ascii="Arial" w:hAnsi="Arial" w:cs="Arial"/>
                <w:color w:val="000000"/>
                <w:sz w:val="20"/>
                <w:szCs w:val="20"/>
              </w:rPr>
              <w:t xml:space="preserve"> is a contractor / concession agreement with </w:t>
            </w:r>
            <w:r w:rsidRPr="00F739E5">
              <w:rPr>
                <w:rFonts w:ascii="Arial" w:hAnsi="Arial" w:cs="Arial"/>
                <w:i/>
                <w:iCs/>
                <w:sz w:val="20"/>
                <w:szCs w:val="20"/>
              </w:rPr>
              <w:t>royalty</w:t>
            </w:r>
            <w:r w:rsidRPr="00F739E5">
              <w:rPr>
                <w:rFonts w:ascii="Arial" w:hAnsi="Arial" w:cs="Arial"/>
                <w:color w:val="000000"/>
                <w:sz w:val="20"/>
                <w:szCs w:val="20"/>
              </w:rPr>
              <w:t xml:space="preserve"> and </w:t>
            </w:r>
            <w:r w:rsidRPr="00F739E5">
              <w:rPr>
                <w:rFonts w:ascii="Arial" w:hAnsi="Arial" w:cs="Arial"/>
                <w:i/>
                <w:iCs/>
                <w:sz w:val="20"/>
                <w:szCs w:val="20"/>
              </w:rPr>
              <w:t>corporate tax</w:t>
            </w:r>
            <w:r w:rsidRPr="00F739E5">
              <w:rPr>
                <w:rFonts w:ascii="Arial" w:hAnsi="Arial" w:cs="Arial"/>
                <w:color w:val="000000"/>
                <w:sz w:val="20"/>
                <w:szCs w:val="20"/>
              </w:rPr>
              <w:t xml:space="preserve">. The project is assumed to be </w:t>
            </w:r>
            <w:r w:rsidRPr="00F739E5">
              <w:rPr>
                <w:rFonts w:ascii="Arial" w:hAnsi="Arial" w:cs="Arial"/>
                <w:i/>
                <w:iCs/>
                <w:sz w:val="20"/>
                <w:szCs w:val="20"/>
              </w:rPr>
              <w:t>ringfenced</w:t>
            </w:r>
            <w:r w:rsidRPr="00F739E5">
              <w:rPr>
                <w:rFonts w:ascii="Arial" w:hAnsi="Arial" w:cs="Arial"/>
                <w:color w:val="000000"/>
                <w:sz w:val="20"/>
                <w:szCs w:val="20"/>
              </w:rPr>
              <w:t xml:space="preserve">. Royalty payments are optionally tax deductible. To calculate the fiscal income, capex is depreciated according to either a </w:t>
            </w:r>
            <w:r w:rsidRPr="00F739E5">
              <w:rPr>
                <w:rFonts w:ascii="Arial" w:hAnsi="Arial" w:cs="Arial"/>
                <w:i/>
                <w:iCs/>
                <w:sz w:val="20"/>
                <w:szCs w:val="20"/>
              </w:rPr>
              <w:t>straight line depreciation, declining balance depreciation, or double declining balance depreciation scheme</w:t>
            </w:r>
            <w:r w:rsidRPr="00F739E5">
              <w:rPr>
                <w:rFonts w:ascii="Arial" w:hAnsi="Arial" w:cs="Arial"/>
                <w:color w:val="000000"/>
                <w:sz w:val="20"/>
                <w:szCs w:val="20"/>
              </w:rPr>
              <w:t xml:space="preserve">. The number of depreciation years and salvage value are to be specified by the user. The depreciation schedule starts in the </w:t>
            </w:r>
            <w:proofErr w:type="spellStart"/>
            <w:r w:rsidRPr="00F739E5">
              <w:rPr>
                <w:rFonts w:ascii="Arial" w:hAnsi="Arial" w:cs="Arial"/>
                <w:color w:val="000000"/>
                <w:sz w:val="20"/>
                <w:szCs w:val="20"/>
              </w:rPr>
              <w:t>the</w:t>
            </w:r>
            <w:proofErr w:type="spellEnd"/>
            <w:r w:rsidRPr="00F739E5">
              <w:rPr>
                <w:rFonts w:ascii="Arial" w:hAnsi="Arial" w:cs="Arial"/>
                <w:color w:val="000000"/>
                <w:sz w:val="20"/>
                <w:szCs w:val="20"/>
              </w:rPr>
              <w:t xml:space="preserve"> year that the capital was spent. Specific conditions for the </w:t>
            </w:r>
            <w:r w:rsidRPr="00F739E5">
              <w:rPr>
                <w:rFonts w:ascii="Arial" w:hAnsi="Arial" w:cs="Arial"/>
                <w:b/>
                <w:bCs/>
                <w:color w:val="000000"/>
                <w:sz w:val="20"/>
                <w:szCs w:val="20"/>
              </w:rPr>
              <w:t>Indonesian geothermal market</w:t>
            </w:r>
            <w:r w:rsidRPr="00F739E5">
              <w:rPr>
                <w:rFonts w:ascii="Arial" w:hAnsi="Arial" w:cs="Arial"/>
                <w:color w:val="000000"/>
                <w:sz w:val="20"/>
                <w:szCs w:val="20"/>
              </w:rPr>
              <w:t xml:space="preserve"> (Geothermal law etc.) have not been modelled in detail. </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1296"/>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sz w:val="20"/>
                <w:szCs w:val="20"/>
              </w:rPr>
            </w:pPr>
            <w:r w:rsidRPr="00F739E5">
              <w:rPr>
                <w:rFonts w:ascii="Arial" w:hAnsi="Arial" w:cs="Arial"/>
                <w:b/>
                <w:bCs/>
                <w:sz w:val="20"/>
                <w:szCs w:val="20"/>
              </w:rPr>
              <w:t>Decommissioning:</w:t>
            </w:r>
            <w:r w:rsidRPr="00F739E5">
              <w:rPr>
                <w:rFonts w:ascii="Arial" w:hAnsi="Arial" w:cs="Arial"/>
                <w:sz w:val="20"/>
                <w:szCs w:val="20"/>
              </w:rPr>
              <w:t xml:space="preserve"> the field is abandoned based on a user-supplied integer number of consecutive years during which the (undiscounted) net cash flow (NCF) is negative. Following a user-defined mandatory monitoring period to ascertain well integrity and other environmental conditions, abandonment capex is then accrued to the cashflow. </w:t>
            </w:r>
            <w:proofErr w:type="spellStart"/>
            <w:r w:rsidRPr="00F739E5">
              <w:rPr>
                <w:rFonts w:ascii="Arial" w:hAnsi="Arial" w:cs="Arial"/>
                <w:sz w:val="20"/>
                <w:szCs w:val="20"/>
              </w:rPr>
              <w:t>Abandoment</w:t>
            </w:r>
            <w:proofErr w:type="spellEnd"/>
            <w:r w:rsidRPr="00F739E5">
              <w:rPr>
                <w:rFonts w:ascii="Arial" w:hAnsi="Arial" w:cs="Arial"/>
                <w:sz w:val="20"/>
                <w:szCs w:val="20"/>
              </w:rPr>
              <w:t xml:space="preserve"> capex can be specified either as a percentage of cumulative capex, or as a fixed number. For the time being there is no tax provision for this abandonment capex (Loss Carry Back: i.e. correct taxable income well before the year of abandonment, in years during which a profit is still being made). </w:t>
            </w:r>
          </w:p>
          <w:p w:rsidR="00BF2D24" w:rsidRPr="00F739E5" w:rsidRDefault="00BF2D24" w:rsidP="00F739E5">
            <w:pPr>
              <w:spacing w:after="0" w:line="240" w:lineRule="auto"/>
              <w:outlineLvl w:val="0"/>
              <w:rPr>
                <w:rFonts w:ascii="Arial" w:hAnsi="Arial" w:cs="Arial"/>
                <w:sz w:val="20"/>
                <w:szCs w:val="20"/>
              </w:rPr>
            </w:pPr>
          </w:p>
        </w:tc>
      </w:tr>
      <w:tr w:rsidR="00F739E5" w:rsidRPr="00F739E5" w:rsidTr="0056245B">
        <w:trPr>
          <w:trHeight w:val="792"/>
        </w:trPr>
        <w:tc>
          <w:tcPr>
            <w:tcW w:w="8964" w:type="dxa"/>
            <w:tcBorders>
              <w:top w:val="nil"/>
              <w:left w:val="single" w:sz="4" w:space="0" w:color="auto"/>
              <w:bottom w:val="single" w:sz="4" w:space="0" w:color="auto"/>
              <w:right w:val="single" w:sz="4" w:space="0" w:color="auto"/>
            </w:tcBorders>
            <w:shd w:val="clear" w:color="000000" w:fill="FFFFFF"/>
            <w:hideMark/>
          </w:tcPr>
          <w:p w:rsidR="00F739E5" w:rsidRDefault="00F739E5" w:rsidP="00F739E5">
            <w:pPr>
              <w:spacing w:after="0" w:line="240" w:lineRule="auto"/>
              <w:outlineLvl w:val="0"/>
              <w:rPr>
                <w:rFonts w:ascii="Arial" w:hAnsi="Arial" w:cs="Arial"/>
                <w:sz w:val="20"/>
                <w:szCs w:val="20"/>
              </w:rPr>
            </w:pPr>
            <w:r w:rsidRPr="00F739E5">
              <w:rPr>
                <w:rFonts w:ascii="Arial" w:hAnsi="Arial" w:cs="Arial"/>
                <w:sz w:val="20"/>
                <w:szCs w:val="20"/>
              </w:rPr>
              <w:t>Model output</w:t>
            </w:r>
            <w:r w:rsidRPr="00F739E5">
              <w:rPr>
                <w:rFonts w:ascii="Arial" w:hAnsi="Arial" w:cs="Arial"/>
                <w:b/>
                <w:bCs/>
                <w:sz w:val="20"/>
                <w:szCs w:val="20"/>
              </w:rPr>
              <w:t xml:space="preserve"> </w:t>
            </w:r>
            <w:r w:rsidRPr="00F739E5">
              <w:rPr>
                <w:rFonts w:ascii="Arial" w:hAnsi="Arial" w:cs="Arial"/>
                <w:sz w:val="20"/>
                <w:szCs w:val="20"/>
              </w:rPr>
              <w:t xml:space="preserve">can be inspected as </w:t>
            </w:r>
            <w:r w:rsidRPr="00F739E5">
              <w:rPr>
                <w:rFonts w:ascii="Arial" w:hAnsi="Arial" w:cs="Arial"/>
                <w:b/>
                <w:bCs/>
                <w:sz w:val="20"/>
                <w:szCs w:val="20"/>
              </w:rPr>
              <w:t xml:space="preserve">KPIs </w:t>
            </w:r>
            <w:r w:rsidRPr="00F739E5">
              <w:rPr>
                <w:rFonts w:ascii="Arial" w:hAnsi="Arial" w:cs="Arial"/>
                <w:sz w:val="20"/>
                <w:szCs w:val="20"/>
              </w:rPr>
              <w:t>and</w:t>
            </w:r>
            <w:r w:rsidRPr="00F739E5">
              <w:rPr>
                <w:rFonts w:ascii="Arial" w:hAnsi="Arial" w:cs="Arial"/>
                <w:b/>
                <w:bCs/>
                <w:sz w:val="20"/>
                <w:szCs w:val="20"/>
              </w:rPr>
              <w:t xml:space="preserve"> performance graphs</w:t>
            </w:r>
            <w:r w:rsidRPr="00F739E5">
              <w:rPr>
                <w:rFonts w:ascii="Arial" w:hAnsi="Arial" w:cs="Arial"/>
                <w:sz w:val="20"/>
                <w:szCs w:val="20"/>
              </w:rPr>
              <w:t xml:space="preserve"> in the pertinent worksheets. When linked to a </w:t>
            </w:r>
            <w:proofErr w:type="spellStart"/>
            <w:r w:rsidRPr="00F739E5">
              <w:rPr>
                <w:rFonts w:ascii="Arial" w:hAnsi="Arial" w:cs="Arial"/>
                <w:sz w:val="20"/>
                <w:szCs w:val="20"/>
              </w:rPr>
              <w:t>MonteCarlo</w:t>
            </w:r>
            <w:proofErr w:type="spellEnd"/>
            <w:r w:rsidRPr="00F739E5">
              <w:rPr>
                <w:rFonts w:ascii="Arial" w:hAnsi="Arial" w:cs="Arial"/>
                <w:sz w:val="20"/>
                <w:szCs w:val="20"/>
              </w:rPr>
              <w:t xml:space="preserve"> engine, </w:t>
            </w:r>
            <w:r w:rsidRPr="00F739E5">
              <w:rPr>
                <w:rFonts w:ascii="Arial" w:hAnsi="Arial" w:cs="Arial"/>
                <w:b/>
                <w:bCs/>
                <w:sz w:val="20"/>
                <w:szCs w:val="20"/>
              </w:rPr>
              <w:t xml:space="preserve">probabilistic time-series </w:t>
            </w:r>
            <w:r w:rsidRPr="00F739E5">
              <w:rPr>
                <w:rFonts w:ascii="Arial" w:hAnsi="Arial" w:cs="Arial"/>
                <w:sz w:val="20"/>
                <w:szCs w:val="20"/>
              </w:rPr>
              <w:t>and</w:t>
            </w:r>
            <w:r w:rsidRPr="00F739E5">
              <w:rPr>
                <w:rFonts w:ascii="Arial" w:hAnsi="Arial" w:cs="Arial"/>
                <w:b/>
                <w:bCs/>
                <w:sz w:val="20"/>
                <w:szCs w:val="20"/>
              </w:rPr>
              <w:t xml:space="preserve"> KPI-histograms</w:t>
            </w:r>
            <w:r w:rsidRPr="00F739E5">
              <w:rPr>
                <w:rFonts w:ascii="Arial" w:hAnsi="Arial" w:cs="Arial"/>
                <w:sz w:val="20"/>
                <w:szCs w:val="20"/>
              </w:rPr>
              <w:t xml:space="preserve"> can also be inspected. Probabilistic </w:t>
            </w:r>
            <w:r w:rsidRPr="00F739E5">
              <w:rPr>
                <w:rFonts w:ascii="Arial" w:hAnsi="Arial" w:cs="Arial"/>
                <w:b/>
                <w:bCs/>
                <w:sz w:val="20"/>
                <w:szCs w:val="20"/>
              </w:rPr>
              <w:t>sensitivity analysis</w:t>
            </w:r>
            <w:r w:rsidRPr="00F739E5">
              <w:rPr>
                <w:rFonts w:ascii="Arial" w:hAnsi="Arial" w:cs="Arial"/>
                <w:sz w:val="20"/>
                <w:szCs w:val="20"/>
              </w:rPr>
              <w:t xml:space="preserve"> can then be performed. The sales-tariff to Indonesian state monopolist PLN can for example be computed and matched to an IRR hurdle rate.  </w:t>
            </w:r>
          </w:p>
          <w:p w:rsidR="00311218" w:rsidRPr="00F739E5" w:rsidRDefault="00311218" w:rsidP="00F739E5">
            <w:pPr>
              <w:spacing w:after="0" w:line="240" w:lineRule="auto"/>
              <w:outlineLvl w:val="0"/>
              <w:rPr>
                <w:rFonts w:ascii="Arial" w:hAnsi="Arial" w:cs="Arial"/>
                <w:sz w:val="20"/>
                <w:szCs w:val="20"/>
              </w:rPr>
            </w:pPr>
          </w:p>
        </w:tc>
      </w:tr>
    </w:tbl>
    <w:p w:rsidR="0056245B" w:rsidRDefault="0056245B"/>
    <w:p w:rsidR="00BF2D24" w:rsidRPr="0056245B" w:rsidRDefault="0056245B" w:rsidP="0056245B">
      <w:pPr>
        <w:pStyle w:val="ListParagraph"/>
        <w:numPr>
          <w:ilvl w:val="0"/>
          <w:numId w:val="1"/>
        </w:numPr>
        <w:rPr>
          <w:rFonts w:ascii="Arial" w:hAnsi="Arial" w:cs="Arial"/>
          <w:b/>
          <w:bCs/>
          <w:color w:val="0000FF"/>
          <w:szCs w:val="20"/>
        </w:rPr>
      </w:pPr>
      <w:r w:rsidRPr="0056245B">
        <w:rPr>
          <w:rFonts w:ascii="Arial" w:hAnsi="Arial" w:cs="Arial"/>
          <w:b/>
          <w:bCs/>
          <w:color w:val="0000FF"/>
          <w:szCs w:val="20"/>
        </w:rPr>
        <w:t>Model input</w:t>
      </w:r>
    </w:p>
    <w:p w:rsidR="00BF2D24" w:rsidRDefault="00BF2D24">
      <w:r>
        <w:t>Below follow some screenshots for the tool</w:t>
      </w:r>
      <w:r>
        <w:t>’</w:t>
      </w:r>
      <w:r>
        <w:t xml:space="preserve">s </w:t>
      </w:r>
      <w:r w:rsidRPr="00A17F04">
        <w:rPr>
          <w:b/>
        </w:rPr>
        <w:t>input</w:t>
      </w:r>
      <w:r>
        <w:t xml:space="preserve"> variables.</w:t>
      </w:r>
    </w:p>
    <w:p w:rsidR="006B2A5C" w:rsidRPr="006B2A5C" w:rsidRDefault="006B2A5C">
      <w:pPr>
        <w:rPr>
          <w:b/>
        </w:rPr>
      </w:pPr>
      <w:r w:rsidRPr="006B2A5C">
        <w:rPr>
          <w:b/>
        </w:rPr>
        <w:t>Scalar input variables</w:t>
      </w:r>
      <w:r>
        <w:rPr>
          <w:b/>
        </w:rPr>
        <w:t>:</w:t>
      </w:r>
    </w:p>
    <w:p w:rsidR="00FC759E" w:rsidRDefault="00FC759E">
      <w:r w:rsidRPr="00FC759E">
        <w:rPr>
          <w:noProof/>
        </w:rPr>
        <w:lastRenderedPageBreak/>
        <w:drawing>
          <wp:inline distT="0" distB="0" distL="0" distR="0">
            <wp:extent cx="3421380" cy="1828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1380" cy="182880"/>
                    </a:xfrm>
                    <a:prstGeom prst="rect">
                      <a:avLst/>
                    </a:prstGeom>
                    <a:noFill/>
                    <a:ln>
                      <a:noFill/>
                    </a:ln>
                  </pic:spPr>
                </pic:pic>
              </a:graphicData>
            </a:graphic>
          </wp:inline>
        </w:drawing>
      </w:r>
    </w:p>
    <w:p w:rsidR="00FC759E" w:rsidRDefault="00FC759E">
      <w:r w:rsidRPr="00FC759E">
        <w:rPr>
          <w:noProof/>
        </w:rPr>
        <w:drawing>
          <wp:inline distT="0" distB="0" distL="0" distR="0">
            <wp:extent cx="5731510" cy="1895164"/>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895164"/>
                    </a:xfrm>
                    <a:prstGeom prst="rect">
                      <a:avLst/>
                    </a:prstGeom>
                    <a:noFill/>
                    <a:ln>
                      <a:noFill/>
                    </a:ln>
                  </pic:spPr>
                </pic:pic>
              </a:graphicData>
            </a:graphic>
          </wp:inline>
        </w:drawing>
      </w:r>
    </w:p>
    <w:p w:rsidR="00FC759E" w:rsidRDefault="00FC759E">
      <w:r w:rsidRPr="00FC759E">
        <w:rPr>
          <w:noProof/>
        </w:rPr>
        <w:drawing>
          <wp:inline distT="0" distB="0" distL="0" distR="0">
            <wp:extent cx="5731510" cy="167818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1678180"/>
                    </a:xfrm>
                    <a:prstGeom prst="rect">
                      <a:avLst/>
                    </a:prstGeom>
                    <a:noFill/>
                    <a:ln>
                      <a:noFill/>
                    </a:ln>
                  </pic:spPr>
                </pic:pic>
              </a:graphicData>
            </a:graphic>
          </wp:inline>
        </w:drawing>
      </w:r>
      <w:bookmarkStart w:id="0" w:name="_GoBack"/>
      <w:bookmarkEnd w:id="0"/>
    </w:p>
    <w:p w:rsidR="006B2A5C" w:rsidRPr="006B2A5C" w:rsidRDefault="006B2A5C">
      <w:pPr>
        <w:rPr>
          <w:b/>
        </w:rPr>
      </w:pPr>
      <w:r w:rsidRPr="006B2A5C">
        <w:rPr>
          <w:b/>
        </w:rPr>
        <w:t>Time-series</w:t>
      </w:r>
      <w:r>
        <w:t xml:space="preserve"> </w:t>
      </w:r>
      <w:r w:rsidRPr="006B2A5C">
        <w:rPr>
          <w:b/>
        </w:rPr>
        <w:t>input variables</w:t>
      </w:r>
      <w:r>
        <w:rPr>
          <w:b/>
        </w:rPr>
        <w:t>:</w:t>
      </w:r>
    </w:p>
    <w:p w:rsidR="00FC759E" w:rsidRDefault="00FC759E">
      <w:r w:rsidRPr="00FC759E">
        <w:rPr>
          <w:noProof/>
        </w:rPr>
        <w:drawing>
          <wp:inline distT="0" distB="0" distL="0" distR="0">
            <wp:extent cx="3749040" cy="3632119"/>
            <wp:effectExtent l="0" t="0" r="381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5954" cy="3638817"/>
                    </a:xfrm>
                    <a:prstGeom prst="rect">
                      <a:avLst/>
                    </a:prstGeom>
                    <a:noFill/>
                    <a:ln>
                      <a:noFill/>
                    </a:ln>
                  </pic:spPr>
                </pic:pic>
              </a:graphicData>
            </a:graphic>
          </wp:inline>
        </w:drawing>
      </w:r>
    </w:p>
    <w:p w:rsidR="00C51B90" w:rsidRDefault="00C51B90" w:rsidP="00C51B90">
      <w:pPr>
        <w:rPr>
          <w:b/>
        </w:rPr>
      </w:pPr>
      <w:r>
        <w:rPr>
          <w:b/>
        </w:rPr>
        <w:lastRenderedPageBreak/>
        <w:t xml:space="preserve">Stochastic </w:t>
      </w:r>
      <w:r w:rsidRPr="006B2A5C">
        <w:rPr>
          <w:b/>
        </w:rPr>
        <w:t>input variables</w:t>
      </w:r>
      <w:r>
        <w:rPr>
          <w:b/>
        </w:rPr>
        <w:t>:</w:t>
      </w:r>
    </w:p>
    <w:p w:rsidR="00C51B90" w:rsidRDefault="00C51B90" w:rsidP="00C51B90">
      <w:r w:rsidRPr="00C51B90">
        <w:t>When linked to Crystal Ball, the</w:t>
      </w:r>
      <w:r>
        <w:t xml:space="preserve"> non-controllable uncertain input variables can be defined stochastically. Examples are: porosity, permeability, skin build-up rate, well drilling cost, well stimulation cost, well workover cost, etc. </w:t>
      </w:r>
    </w:p>
    <w:p w:rsidR="00C51B90" w:rsidRPr="00C51B90" w:rsidRDefault="00C51B90" w:rsidP="00C51B90">
      <w:r>
        <w:t>Crystal Ball allows such variables to be defined through pdf</w:t>
      </w:r>
      <w:r>
        <w:t>’</w:t>
      </w:r>
      <w:r>
        <w:t xml:space="preserve">s (probability density functions), and allow such variable to be correlated stochastically, i.e. using a correlation coefficient. The shape of the pdf and the correlation coefficients determine the Monte Carlo sampling process and, hence, the computation of the output KPI-histograms and probabilistic time-series. Reference is made to the Crystal Ball XL plug-in. </w:t>
      </w:r>
    </w:p>
    <w:p w:rsidR="00C51B90" w:rsidRDefault="00C51B90"/>
    <w:p w:rsidR="00A17F04" w:rsidRPr="00A17F04" w:rsidRDefault="00890A46" w:rsidP="00A17F04">
      <w:pPr>
        <w:pStyle w:val="ListParagraph"/>
        <w:numPr>
          <w:ilvl w:val="0"/>
          <w:numId w:val="1"/>
        </w:numPr>
        <w:rPr>
          <w:rFonts w:ascii="Arial" w:hAnsi="Arial" w:cs="Arial"/>
          <w:b/>
          <w:bCs/>
          <w:color w:val="0000FF"/>
          <w:szCs w:val="20"/>
        </w:rPr>
      </w:pPr>
      <w:r>
        <w:rPr>
          <w:rFonts w:ascii="Arial" w:hAnsi="Arial" w:cs="Arial"/>
          <w:b/>
          <w:bCs/>
          <w:color w:val="0000FF"/>
          <w:szCs w:val="20"/>
        </w:rPr>
        <w:t>Examples of m</w:t>
      </w:r>
      <w:r w:rsidR="00A17F04" w:rsidRPr="00A17F04">
        <w:rPr>
          <w:rFonts w:ascii="Arial" w:hAnsi="Arial" w:cs="Arial"/>
          <w:b/>
          <w:bCs/>
          <w:color w:val="0000FF"/>
          <w:szCs w:val="20"/>
        </w:rPr>
        <w:t>odel output</w:t>
      </w:r>
    </w:p>
    <w:p w:rsidR="00A17F04" w:rsidRDefault="00A17F04" w:rsidP="00A17F04">
      <w:r>
        <w:t>Below follow some screenshots for the tool</w:t>
      </w:r>
      <w:r>
        <w:t>’</w:t>
      </w:r>
      <w:r>
        <w:t xml:space="preserve">s </w:t>
      </w:r>
      <w:r w:rsidRPr="00A17F04">
        <w:rPr>
          <w:b/>
        </w:rPr>
        <w:t>output</w:t>
      </w:r>
      <w:r>
        <w:t xml:space="preserve"> variables.</w:t>
      </w:r>
    </w:p>
    <w:p w:rsidR="00311218" w:rsidRDefault="00890A46">
      <w:r w:rsidRPr="00890A46">
        <w:rPr>
          <w:noProof/>
        </w:rPr>
        <w:drawing>
          <wp:inline distT="0" distB="0" distL="0" distR="0">
            <wp:extent cx="5731510" cy="3144506"/>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14450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4523"/>
        <w:gridCol w:w="4493"/>
      </w:tblGrid>
      <w:tr w:rsidR="00890A46" w:rsidTr="00890A46">
        <w:tc>
          <w:tcPr>
            <w:tcW w:w="4508" w:type="dxa"/>
          </w:tcPr>
          <w:p w:rsidR="00890A46" w:rsidRDefault="00890A46">
            <w:r>
              <w:rPr>
                <w:noProof/>
              </w:rPr>
              <w:drawing>
                <wp:inline distT="0" distB="0" distL="0" distR="0" wp14:anchorId="0F5B475A" wp14:editId="3BCD049D">
                  <wp:extent cx="2773680" cy="2011537"/>
                  <wp:effectExtent l="0" t="0" r="762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0828" cy="2023973"/>
                          </a:xfrm>
                          <a:prstGeom prst="rect">
                            <a:avLst/>
                          </a:prstGeom>
                          <a:noFill/>
                        </pic:spPr>
                      </pic:pic>
                    </a:graphicData>
                  </a:graphic>
                </wp:inline>
              </w:drawing>
            </w:r>
          </w:p>
        </w:tc>
        <w:tc>
          <w:tcPr>
            <w:tcW w:w="4508" w:type="dxa"/>
          </w:tcPr>
          <w:p w:rsidR="00890A46" w:rsidRDefault="00890A46">
            <w:r>
              <w:rPr>
                <w:noProof/>
              </w:rPr>
              <w:drawing>
                <wp:inline distT="0" distB="0" distL="0" distR="0" wp14:anchorId="56337571" wp14:editId="0F2D5C07">
                  <wp:extent cx="2758440" cy="199644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9543" t="26236" r="32329" b="11838"/>
                          <a:stretch/>
                        </pic:blipFill>
                        <pic:spPr bwMode="auto">
                          <a:xfrm>
                            <a:off x="0" y="0"/>
                            <a:ext cx="2758440" cy="1996440"/>
                          </a:xfrm>
                          <a:prstGeom prst="rect">
                            <a:avLst/>
                          </a:prstGeom>
                          <a:ln>
                            <a:noFill/>
                          </a:ln>
                          <a:extLst>
                            <a:ext uri="{53640926-AAD7-44D8-BBD7-CCE9431645EC}">
                              <a14:shadowObscured xmlns:a14="http://schemas.microsoft.com/office/drawing/2010/main"/>
                            </a:ext>
                          </a:extLst>
                        </pic:spPr>
                      </pic:pic>
                    </a:graphicData>
                  </a:graphic>
                </wp:inline>
              </w:drawing>
            </w:r>
          </w:p>
        </w:tc>
      </w:tr>
    </w:tbl>
    <w:p w:rsidR="00890A46" w:rsidRDefault="00890A46"/>
    <w:tbl>
      <w:tblPr>
        <w:tblStyle w:val="TableGrid"/>
        <w:tblW w:w="0" w:type="auto"/>
        <w:tblLook w:val="04A0" w:firstRow="1" w:lastRow="0" w:firstColumn="1" w:lastColumn="0" w:noHBand="0" w:noVBand="1"/>
      </w:tblPr>
      <w:tblGrid>
        <w:gridCol w:w="4508"/>
        <w:gridCol w:w="4508"/>
      </w:tblGrid>
      <w:tr w:rsidR="00890A46" w:rsidTr="00890A46">
        <w:tc>
          <w:tcPr>
            <w:tcW w:w="4508" w:type="dxa"/>
          </w:tcPr>
          <w:p w:rsidR="00890A46" w:rsidRDefault="00890A46">
            <w:r>
              <w:rPr>
                <w:noProof/>
              </w:rPr>
              <w:drawing>
                <wp:inline distT="0" distB="0" distL="0" distR="0" wp14:anchorId="10518C5C" wp14:editId="238259B9">
                  <wp:extent cx="2687851" cy="1950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6032" cy="1963915"/>
                          </a:xfrm>
                          <a:prstGeom prst="rect">
                            <a:avLst/>
                          </a:prstGeom>
                          <a:noFill/>
                        </pic:spPr>
                      </pic:pic>
                    </a:graphicData>
                  </a:graphic>
                </wp:inline>
              </w:drawing>
            </w:r>
          </w:p>
        </w:tc>
        <w:tc>
          <w:tcPr>
            <w:tcW w:w="4508" w:type="dxa"/>
          </w:tcPr>
          <w:p w:rsidR="00890A46" w:rsidRDefault="00890A46">
            <w:r>
              <w:rPr>
                <w:noProof/>
              </w:rPr>
              <w:drawing>
                <wp:inline distT="0" distB="0" distL="0" distR="0" wp14:anchorId="03C61E50" wp14:editId="6285A047">
                  <wp:extent cx="2537460" cy="1841572"/>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45886" cy="1847687"/>
                          </a:xfrm>
                          <a:prstGeom prst="rect">
                            <a:avLst/>
                          </a:prstGeom>
                          <a:noFill/>
                        </pic:spPr>
                      </pic:pic>
                    </a:graphicData>
                  </a:graphic>
                </wp:inline>
              </w:drawing>
            </w:r>
          </w:p>
        </w:tc>
      </w:tr>
    </w:tbl>
    <w:p w:rsidR="001C5070" w:rsidRDefault="00890A46">
      <w:r>
        <w:t xml:space="preserve">When processing the XL model together with the </w:t>
      </w:r>
      <w:r w:rsidR="001C5070">
        <w:t xml:space="preserve">statistical </w:t>
      </w:r>
      <w:r>
        <w:t xml:space="preserve">XL plug-in </w:t>
      </w:r>
      <w:r w:rsidRPr="001C5070">
        <w:rPr>
          <w:b/>
        </w:rPr>
        <w:t>Crystal Ball</w:t>
      </w:r>
      <w:r>
        <w:t xml:space="preserve">, the following type </w:t>
      </w:r>
      <w:r w:rsidR="00B10A1C">
        <w:t>of output can also be obtained</w:t>
      </w:r>
      <w:r w:rsidR="001C5070">
        <w:t xml:space="preserve"> (note that the graphs below come from an oilfield application, but similar stochastic output will be obtained from the geothermal tool)</w:t>
      </w:r>
      <w:r w:rsidR="00B10A1C">
        <w:t>:</w:t>
      </w:r>
    </w:p>
    <w:p w:rsidR="0026568F" w:rsidRPr="0026568F" w:rsidRDefault="0026568F">
      <w:pPr>
        <w:rPr>
          <w:b/>
        </w:rPr>
      </w:pPr>
      <w:r w:rsidRPr="0026568F">
        <w:rPr>
          <w:b/>
        </w:rPr>
        <w:t>Histograms of KPIs</w:t>
      </w:r>
    </w:p>
    <w:tbl>
      <w:tblPr>
        <w:tblStyle w:val="TableGrid"/>
        <w:tblW w:w="0" w:type="auto"/>
        <w:tblLook w:val="04A0" w:firstRow="1" w:lastRow="0" w:firstColumn="1" w:lastColumn="0" w:noHBand="0" w:noVBand="1"/>
      </w:tblPr>
      <w:tblGrid>
        <w:gridCol w:w="4477"/>
        <w:gridCol w:w="16"/>
        <w:gridCol w:w="27"/>
        <w:gridCol w:w="4496"/>
      </w:tblGrid>
      <w:tr w:rsidR="001C5070" w:rsidTr="006B2A5C">
        <w:tc>
          <w:tcPr>
            <w:tcW w:w="4510" w:type="dxa"/>
            <w:gridSpan w:val="3"/>
          </w:tcPr>
          <w:p w:rsidR="001C5070" w:rsidRDefault="00177B85">
            <w:r>
              <w:rPr>
                <w:noProof/>
              </w:rPr>
              <w:drawing>
                <wp:inline distT="0" distB="0" distL="0" distR="0" wp14:anchorId="7E5078C0" wp14:editId="703569A3">
                  <wp:extent cx="2827020" cy="1537540"/>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41332" cy="1545324"/>
                          </a:xfrm>
                          <a:prstGeom prst="rect">
                            <a:avLst/>
                          </a:prstGeom>
                        </pic:spPr>
                      </pic:pic>
                    </a:graphicData>
                  </a:graphic>
                </wp:inline>
              </w:drawing>
            </w:r>
          </w:p>
        </w:tc>
        <w:tc>
          <w:tcPr>
            <w:tcW w:w="4506" w:type="dxa"/>
          </w:tcPr>
          <w:p w:rsidR="001C5070" w:rsidRDefault="00177B85">
            <w:r>
              <w:rPr>
                <w:noProof/>
              </w:rPr>
              <w:drawing>
                <wp:inline distT="0" distB="0" distL="0" distR="0" wp14:anchorId="5B76029B" wp14:editId="594EEA78">
                  <wp:extent cx="2826642" cy="15373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849502" cy="1549768"/>
                          </a:xfrm>
                          <a:prstGeom prst="rect">
                            <a:avLst/>
                          </a:prstGeom>
                        </pic:spPr>
                      </pic:pic>
                    </a:graphicData>
                  </a:graphic>
                </wp:inline>
              </w:drawing>
            </w:r>
          </w:p>
        </w:tc>
      </w:tr>
      <w:tr w:rsidR="001C5070" w:rsidTr="006B2A5C">
        <w:tc>
          <w:tcPr>
            <w:tcW w:w="4489" w:type="dxa"/>
            <w:gridSpan w:val="2"/>
          </w:tcPr>
          <w:p w:rsidR="001C5070" w:rsidRDefault="001C5070" w:rsidP="00E52842">
            <w:r>
              <w:rPr>
                <w:noProof/>
              </w:rPr>
              <w:drawing>
                <wp:inline distT="0" distB="0" distL="0" distR="0" wp14:anchorId="0CD87017" wp14:editId="6650D96D">
                  <wp:extent cx="2811780" cy="1529252"/>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832015" cy="1540257"/>
                          </a:xfrm>
                          <a:prstGeom prst="rect">
                            <a:avLst/>
                          </a:prstGeom>
                        </pic:spPr>
                      </pic:pic>
                    </a:graphicData>
                  </a:graphic>
                </wp:inline>
              </w:drawing>
            </w:r>
          </w:p>
        </w:tc>
        <w:tc>
          <w:tcPr>
            <w:tcW w:w="4527" w:type="dxa"/>
            <w:gridSpan w:val="2"/>
          </w:tcPr>
          <w:p w:rsidR="001C5070" w:rsidRDefault="001C5070" w:rsidP="00E52842">
            <w:r>
              <w:rPr>
                <w:noProof/>
              </w:rPr>
              <w:drawing>
                <wp:inline distT="0" distB="0" distL="0" distR="0" wp14:anchorId="737C98DB" wp14:editId="0E00EE44">
                  <wp:extent cx="2830144" cy="1539240"/>
                  <wp:effectExtent l="0" t="0" r="889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42896" cy="1546175"/>
                          </a:xfrm>
                          <a:prstGeom prst="rect">
                            <a:avLst/>
                          </a:prstGeom>
                        </pic:spPr>
                      </pic:pic>
                    </a:graphicData>
                  </a:graphic>
                </wp:inline>
              </w:drawing>
            </w:r>
          </w:p>
        </w:tc>
      </w:tr>
      <w:tr w:rsidR="001C5070" w:rsidTr="006B2A5C">
        <w:tc>
          <w:tcPr>
            <w:tcW w:w="4480" w:type="dxa"/>
          </w:tcPr>
          <w:p w:rsidR="001C5070" w:rsidRDefault="00177B85" w:rsidP="00E52842">
            <w:r>
              <w:rPr>
                <w:noProof/>
              </w:rPr>
              <w:drawing>
                <wp:inline distT="0" distB="0" distL="0" distR="0" wp14:anchorId="4D337E80" wp14:editId="4B88C832">
                  <wp:extent cx="2746081" cy="14935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769373" cy="1506188"/>
                          </a:xfrm>
                          <a:prstGeom prst="rect">
                            <a:avLst/>
                          </a:prstGeom>
                        </pic:spPr>
                      </pic:pic>
                    </a:graphicData>
                  </a:graphic>
                </wp:inline>
              </w:drawing>
            </w:r>
          </w:p>
        </w:tc>
        <w:tc>
          <w:tcPr>
            <w:tcW w:w="4536" w:type="dxa"/>
            <w:gridSpan w:val="3"/>
          </w:tcPr>
          <w:p w:rsidR="001C5070" w:rsidRDefault="00177B85" w:rsidP="00E52842">
            <w:r>
              <w:rPr>
                <w:noProof/>
              </w:rPr>
              <w:drawing>
                <wp:inline distT="0" distB="0" distL="0" distR="0" wp14:anchorId="18906B9E" wp14:editId="777D451E">
                  <wp:extent cx="2781300" cy="15126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813407" cy="1530137"/>
                          </a:xfrm>
                          <a:prstGeom prst="rect">
                            <a:avLst/>
                          </a:prstGeom>
                        </pic:spPr>
                      </pic:pic>
                    </a:graphicData>
                  </a:graphic>
                </wp:inline>
              </w:drawing>
            </w:r>
          </w:p>
        </w:tc>
      </w:tr>
    </w:tbl>
    <w:p w:rsidR="001C5070" w:rsidRDefault="001C5070"/>
    <w:p w:rsidR="0026568F" w:rsidRDefault="0026568F">
      <w:pPr>
        <w:rPr>
          <w:b/>
        </w:rPr>
      </w:pPr>
      <w:r>
        <w:rPr>
          <w:b/>
        </w:rPr>
        <w:lastRenderedPageBreak/>
        <w:t>Probabilistic time-series and other probabilistic output</w:t>
      </w:r>
    </w:p>
    <w:tbl>
      <w:tblPr>
        <w:tblStyle w:val="TableGrid"/>
        <w:tblW w:w="0" w:type="auto"/>
        <w:tblLook w:val="04A0" w:firstRow="1" w:lastRow="0" w:firstColumn="1" w:lastColumn="0" w:noHBand="0" w:noVBand="1"/>
      </w:tblPr>
      <w:tblGrid>
        <w:gridCol w:w="4508"/>
        <w:gridCol w:w="4508"/>
      </w:tblGrid>
      <w:tr w:rsidR="001C5070" w:rsidTr="00E52842">
        <w:tc>
          <w:tcPr>
            <w:tcW w:w="4508" w:type="dxa"/>
          </w:tcPr>
          <w:p w:rsidR="001C5070" w:rsidRDefault="001C5070" w:rsidP="00E52842">
            <w:r>
              <w:rPr>
                <w:noProof/>
              </w:rPr>
              <w:drawing>
                <wp:inline distT="0" distB="0" distL="0" distR="0" wp14:anchorId="09A3F64F">
                  <wp:extent cx="2689860" cy="177393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07405" cy="1785507"/>
                          </a:xfrm>
                          <a:prstGeom prst="rect">
                            <a:avLst/>
                          </a:prstGeom>
                          <a:noFill/>
                        </pic:spPr>
                      </pic:pic>
                    </a:graphicData>
                  </a:graphic>
                </wp:inline>
              </w:drawing>
            </w:r>
          </w:p>
        </w:tc>
        <w:tc>
          <w:tcPr>
            <w:tcW w:w="4508" w:type="dxa"/>
          </w:tcPr>
          <w:p w:rsidR="001C5070" w:rsidRDefault="001C5070" w:rsidP="00E52842"/>
          <w:p w:rsidR="001C5070" w:rsidRDefault="001C5070" w:rsidP="00E52842">
            <w:r w:rsidRPr="001C5070">
              <w:rPr>
                <w:noProof/>
              </w:rPr>
              <w:drawing>
                <wp:inline distT="0" distB="0" distL="0" distR="0" wp14:anchorId="2B31DAC2" wp14:editId="32A20BA9">
                  <wp:extent cx="2567940" cy="1243358"/>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83600" cy="1250940"/>
                          </a:xfrm>
                          <a:prstGeom prst="rect">
                            <a:avLst/>
                          </a:prstGeom>
                          <a:noFill/>
                          <a:ln>
                            <a:noFill/>
                          </a:ln>
                        </pic:spPr>
                      </pic:pic>
                    </a:graphicData>
                  </a:graphic>
                </wp:inline>
              </w:drawing>
            </w:r>
          </w:p>
          <w:p w:rsidR="001C5070" w:rsidRDefault="001C5070" w:rsidP="00E52842"/>
        </w:tc>
      </w:tr>
    </w:tbl>
    <w:p w:rsidR="001C5070" w:rsidRDefault="001C5070"/>
    <w:p w:rsidR="0026568F" w:rsidRPr="0026568F" w:rsidRDefault="0026568F">
      <w:pPr>
        <w:rPr>
          <w:b/>
        </w:rPr>
      </w:pPr>
      <w:r w:rsidRPr="0026568F">
        <w:rPr>
          <w:b/>
        </w:rPr>
        <w:t>Sensitivity analyses</w:t>
      </w:r>
    </w:p>
    <w:tbl>
      <w:tblPr>
        <w:tblStyle w:val="TableGrid"/>
        <w:tblW w:w="0" w:type="auto"/>
        <w:tblLook w:val="04A0" w:firstRow="1" w:lastRow="0" w:firstColumn="1" w:lastColumn="0" w:noHBand="0" w:noVBand="1"/>
      </w:tblPr>
      <w:tblGrid>
        <w:gridCol w:w="4452"/>
        <w:gridCol w:w="4564"/>
      </w:tblGrid>
      <w:tr w:rsidR="00177B85" w:rsidTr="00177B85">
        <w:tc>
          <w:tcPr>
            <w:tcW w:w="4390" w:type="dxa"/>
          </w:tcPr>
          <w:p w:rsidR="00177B85" w:rsidRDefault="00177B85">
            <w:r>
              <w:rPr>
                <w:noProof/>
              </w:rPr>
              <w:drawing>
                <wp:inline distT="0" distB="0" distL="0" distR="0" wp14:anchorId="7D8291D6" wp14:editId="1521AD7D">
                  <wp:extent cx="2727960" cy="1482153"/>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42652" cy="1490135"/>
                          </a:xfrm>
                          <a:prstGeom prst="rect">
                            <a:avLst/>
                          </a:prstGeom>
                        </pic:spPr>
                      </pic:pic>
                    </a:graphicData>
                  </a:graphic>
                </wp:inline>
              </w:drawing>
            </w:r>
          </w:p>
        </w:tc>
        <w:tc>
          <w:tcPr>
            <w:tcW w:w="4626" w:type="dxa"/>
          </w:tcPr>
          <w:p w:rsidR="00177B85" w:rsidRDefault="00177B85">
            <w:r>
              <w:rPr>
                <w:noProof/>
              </w:rPr>
              <w:drawing>
                <wp:inline distT="0" distB="0" distL="0" distR="0" wp14:anchorId="61A5FF38" wp14:editId="383CE3BB">
                  <wp:extent cx="2796087" cy="1516380"/>
                  <wp:effectExtent l="0" t="0" r="4445"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807655" cy="1522653"/>
                          </a:xfrm>
                          <a:prstGeom prst="rect">
                            <a:avLst/>
                          </a:prstGeom>
                        </pic:spPr>
                      </pic:pic>
                    </a:graphicData>
                  </a:graphic>
                </wp:inline>
              </w:drawing>
            </w:r>
          </w:p>
        </w:tc>
      </w:tr>
    </w:tbl>
    <w:p w:rsidR="001C5070" w:rsidRDefault="001C5070"/>
    <w:tbl>
      <w:tblPr>
        <w:tblStyle w:val="TableGrid"/>
        <w:tblW w:w="0" w:type="auto"/>
        <w:tblLook w:val="04A0" w:firstRow="1" w:lastRow="0" w:firstColumn="1" w:lastColumn="0" w:noHBand="0" w:noVBand="1"/>
      </w:tblPr>
      <w:tblGrid>
        <w:gridCol w:w="4446"/>
        <w:gridCol w:w="4570"/>
      </w:tblGrid>
      <w:tr w:rsidR="00177B85" w:rsidTr="0026568F">
        <w:tc>
          <w:tcPr>
            <w:tcW w:w="4656" w:type="dxa"/>
          </w:tcPr>
          <w:p w:rsidR="00177B85" w:rsidRDefault="00177B85">
            <w:r>
              <w:rPr>
                <w:noProof/>
              </w:rPr>
              <w:drawing>
                <wp:inline distT="0" distB="0" distL="0" distR="0" wp14:anchorId="120939A9" wp14:editId="06F5C1A5">
                  <wp:extent cx="2819400" cy="153183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835877" cy="1540786"/>
                          </a:xfrm>
                          <a:prstGeom prst="rect">
                            <a:avLst/>
                          </a:prstGeom>
                        </pic:spPr>
                      </pic:pic>
                    </a:graphicData>
                  </a:graphic>
                </wp:inline>
              </w:drawing>
            </w:r>
          </w:p>
        </w:tc>
        <w:tc>
          <w:tcPr>
            <w:tcW w:w="4360" w:type="dxa"/>
          </w:tcPr>
          <w:p w:rsidR="00177B85" w:rsidRDefault="0026568F">
            <w:r>
              <w:rPr>
                <w:noProof/>
              </w:rPr>
              <w:drawing>
                <wp:inline distT="0" distB="0" distL="0" distR="0" wp14:anchorId="4D93412B" wp14:editId="2537E504">
                  <wp:extent cx="2903155" cy="157734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914498" cy="1583503"/>
                          </a:xfrm>
                          <a:prstGeom prst="rect">
                            <a:avLst/>
                          </a:prstGeom>
                        </pic:spPr>
                      </pic:pic>
                    </a:graphicData>
                  </a:graphic>
                </wp:inline>
              </w:drawing>
            </w:r>
          </w:p>
        </w:tc>
      </w:tr>
    </w:tbl>
    <w:p w:rsidR="00177B85" w:rsidRDefault="00177B85"/>
    <w:sectPr w:rsidR="00177B85" w:rsidSect="00CE4DB4">
      <w:headerReference w:type="defaul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9E5" w:rsidRDefault="00F739E5" w:rsidP="00F739E5">
      <w:pPr>
        <w:spacing w:after="0" w:line="240" w:lineRule="auto"/>
      </w:pPr>
      <w:r>
        <w:separator/>
      </w:r>
    </w:p>
  </w:endnote>
  <w:endnote w:type="continuationSeparator" w:id="0">
    <w:p w:rsidR="00F739E5" w:rsidRDefault="00F739E5" w:rsidP="00F73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9E5" w:rsidRDefault="00F739E5" w:rsidP="00F739E5">
      <w:pPr>
        <w:spacing w:after="0" w:line="240" w:lineRule="auto"/>
      </w:pPr>
      <w:r>
        <w:separator/>
      </w:r>
    </w:p>
  </w:footnote>
  <w:footnote w:type="continuationSeparator" w:id="0">
    <w:p w:rsidR="00F739E5" w:rsidRDefault="00F739E5" w:rsidP="00F73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9E5" w:rsidRDefault="00F739E5" w:rsidP="00F739E5">
    <w:pPr>
      <w:pStyle w:val="Header"/>
      <w:jc w:val="center"/>
    </w:pPr>
    <w:r>
      <w:rPr>
        <w:noProof/>
      </w:rPr>
      <w:drawing>
        <wp:inline distT="0" distB="0" distL="0" distR="0" wp14:anchorId="2C164150" wp14:editId="6CD46D3B">
          <wp:extent cx="2997835" cy="750570"/>
          <wp:effectExtent l="0" t="0" r="0" b="0"/>
          <wp:docPr id="4" name="Picture 3">
            <a:extLst xmlns:a="http://schemas.openxmlformats.org/drawingml/2006/main">
              <a:ext uri="{FF2B5EF4-FFF2-40B4-BE49-F238E27FC236}">
                <a16:creationId xmlns:a16="http://schemas.microsoft.com/office/drawing/2014/main" id="{44DDCDE4-57FF-40E1-8504-7E0A2BE6AE1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44DDCDE4-57FF-40E1-8504-7E0A2BE6AE1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97835" cy="750570"/>
                  </a:xfrm>
                  <a:prstGeom prst="rect">
                    <a:avLst/>
                  </a:prstGeom>
                </pic:spPr>
              </pic:pic>
            </a:graphicData>
          </a:graphic>
        </wp:inline>
      </w:drawing>
    </w:r>
  </w:p>
  <w:p w:rsidR="00F739E5" w:rsidRPr="00F739E5" w:rsidRDefault="00F739E5">
    <w:pPr>
      <w:pStyle w:val="Header"/>
      <w:rPr>
        <w:b/>
        <w:sz w:val="16"/>
      </w:rPr>
    </w:pPr>
    <w:r w:rsidRPr="00F739E5">
      <w:rPr>
        <w:b/>
        <w:sz w:val="16"/>
      </w:rPr>
      <w:t>Geothermal asset valuation tool</w:t>
    </w:r>
    <w:r w:rsidRPr="00F739E5">
      <w:rPr>
        <w:b/>
        <w:sz w:val="16"/>
      </w:rPr>
      <w:ptab w:relativeTo="margin" w:alignment="center" w:leader="none"/>
    </w:r>
    <w:r w:rsidRPr="00F739E5">
      <w:rPr>
        <w:b/>
        <w:sz w:val="16"/>
      </w:rPr>
      <w:t>GEOCAP Work Package 2.01</w:t>
    </w:r>
    <w:r w:rsidRPr="00F739E5">
      <w:rPr>
        <w:b/>
        <w:sz w:val="16"/>
      </w:rPr>
      <w:ptab w:relativeTo="margin" w:alignment="right" w:leader="none"/>
    </w:r>
    <w:r w:rsidRPr="00F739E5">
      <w:rPr>
        <w:b/>
        <w:sz w:val="16"/>
      </w:rPr>
      <w:t>version 20 Feb 2017</w:t>
    </w:r>
    <w:r w:rsidR="00BE14D9">
      <w:rPr>
        <w:b/>
        <w:sz w:val="16"/>
      </w:rPr>
      <w:t xml:space="preserve">, p. </w:t>
    </w:r>
    <w:r w:rsidR="00BE14D9" w:rsidRPr="00BE14D9">
      <w:rPr>
        <w:b/>
        <w:sz w:val="16"/>
      </w:rPr>
      <w:fldChar w:fldCharType="begin"/>
    </w:r>
    <w:r w:rsidR="00BE14D9" w:rsidRPr="00BE14D9">
      <w:rPr>
        <w:b/>
        <w:sz w:val="16"/>
      </w:rPr>
      <w:instrText xml:space="preserve"> PAGE   \* MERGEFORMAT </w:instrText>
    </w:r>
    <w:r w:rsidR="00BE14D9" w:rsidRPr="00BE14D9">
      <w:rPr>
        <w:b/>
        <w:sz w:val="16"/>
      </w:rPr>
      <w:fldChar w:fldCharType="separate"/>
    </w:r>
    <w:r w:rsidR="00BE14D9">
      <w:rPr>
        <w:b/>
        <w:noProof/>
        <w:sz w:val="16"/>
      </w:rPr>
      <w:t>5</w:t>
    </w:r>
    <w:r w:rsidR="00BE14D9" w:rsidRPr="00BE14D9">
      <w:rPr>
        <w:b/>
        <w:noProof/>
        <w:sz w:val="16"/>
      </w:rPr>
      <w:fldChar w:fldCharType="end"/>
    </w:r>
  </w:p>
  <w:p w:rsidR="00F739E5" w:rsidRDefault="00F739E5">
    <w:pPr>
      <w:pStyle w:val="Header"/>
    </w:pPr>
  </w:p>
  <w:p w:rsidR="00F739E5" w:rsidRDefault="00F739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E2F7D"/>
    <w:multiLevelType w:val="hybridMultilevel"/>
    <w:tmpl w:val="1B7E3134"/>
    <w:lvl w:ilvl="0" w:tplc="2808037C">
      <w:start w:val="1"/>
      <w:numFmt w:val="decimal"/>
      <w:lvlText w:val="%1."/>
      <w:lvlJc w:val="left"/>
      <w:pPr>
        <w:ind w:left="720" w:hanging="360"/>
      </w:pPr>
      <w:rPr>
        <w:rFonts w:ascii="Arial" w:hAnsi="Arial" w:cs="Arial" w:hint="default"/>
        <w:b/>
        <w:color w:val="0000FF"/>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0C3637"/>
    <w:multiLevelType w:val="hybridMultilevel"/>
    <w:tmpl w:val="1B7E3134"/>
    <w:lvl w:ilvl="0" w:tplc="2808037C">
      <w:start w:val="1"/>
      <w:numFmt w:val="decimal"/>
      <w:lvlText w:val="%1."/>
      <w:lvlJc w:val="left"/>
      <w:pPr>
        <w:ind w:left="720" w:hanging="360"/>
      </w:pPr>
      <w:rPr>
        <w:rFonts w:ascii="Arial" w:hAnsi="Arial" w:cs="Arial" w:hint="default"/>
        <w:b/>
        <w:color w:val="0000FF"/>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9E5"/>
    <w:rsid w:val="00177B85"/>
    <w:rsid w:val="001C5070"/>
    <w:rsid w:val="0026568F"/>
    <w:rsid w:val="00311218"/>
    <w:rsid w:val="0056245B"/>
    <w:rsid w:val="006B2A5C"/>
    <w:rsid w:val="00862C10"/>
    <w:rsid w:val="00890A46"/>
    <w:rsid w:val="00A17F04"/>
    <w:rsid w:val="00B10A1C"/>
    <w:rsid w:val="00BE14D9"/>
    <w:rsid w:val="00BF2D24"/>
    <w:rsid w:val="00C51B90"/>
    <w:rsid w:val="00CE4DB4"/>
    <w:rsid w:val="00F739E5"/>
    <w:rsid w:val="00F95067"/>
    <w:rsid w:val="00FC759E"/>
  </w:rsids>
  <m:mathPr>
    <m:mathFont m:val="Cambria Math"/>
    <m:brkBin m:val="before"/>
    <m:brkBinSub m:val="--"/>
    <m:smallFrac m:val="0"/>
    <m:dispDef/>
    <m:lMargin m:val="0"/>
    <m:rMargin m:val="0"/>
    <m:defJc m:val="centerGroup"/>
    <m:wrapIndent m:val="1440"/>
    <m:intLim m:val="subSup"/>
    <m:naryLim m:val="undOvr"/>
  </m:mathPr>
  <w:themeFontLang w:val="nl-NL"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91948"/>
  <w15:chartTrackingRefBased/>
  <w15:docId w15:val="{70BA0DB0-730B-44F6-BB3C-6764A27E4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39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39E5"/>
  </w:style>
  <w:style w:type="paragraph" w:styleId="Footer">
    <w:name w:val="footer"/>
    <w:basedOn w:val="Normal"/>
    <w:link w:val="FooterChar"/>
    <w:uiPriority w:val="99"/>
    <w:unhideWhenUsed/>
    <w:rsid w:val="00F739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39E5"/>
  </w:style>
  <w:style w:type="paragraph" w:styleId="ListParagraph">
    <w:name w:val="List Paragraph"/>
    <w:basedOn w:val="Normal"/>
    <w:uiPriority w:val="34"/>
    <w:qFormat/>
    <w:rsid w:val="0056245B"/>
    <w:pPr>
      <w:ind w:left="720"/>
      <w:contextualSpacing/>
    </w:pPr>
  </w:style>
  <w:style w:type="table" w:styleId="TableGrid">
    <w:name w:val="Table Grid"/>
    <w:basedOn w:val="TableNormal"/>
    <w:uiPriority w:val="39"/>
    <w:rsid w:val="00890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96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emf"/><Relationship Id="rId28"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1377</Words>
  <Characters>7701</Characters>
  <Application>Microsoft Office Word</Application>
  <DocSecurity>0</DocSecurity>
  <Lines>151</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 C.F.M. (Christian)</dc:creator>
  <cp:keywords/>
  <dc:description/>
  <cp:lastModifiedBy>Bos, C.F.M. (Christian)</cp:lastModifiedBy>
  <cp:revision>2</cp:revision>
  <dcterms:created xsi:type="dcterms:W3CDTF">2017-03-08T15:08:00Z</dcterms:created>
  <dcterms:modified xsi:type="dcterms:W3CDTF">2017-03-08T15:08:00Z</dcterms:modified>
</cp:coreProperties>
</file>